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30" w:lineRule="exact"/>
        <w:ind w:firstLine="0" w:firstLineChars="0"/>
        <w:jc w:val="center"/>
        <w:textAlignment w:val="auto"/>
        <w:rPr>
          <w:rFonts w:hint="default" w:ascii="Times New Roman" w:hAnsi="Times New Roman" w:eastAsia="方正小标宋简体" w:cs="Times New Roman"/>
          <w:b w:val="0"/>
          <w:bCs/>
          <w:sz w:val="44"/>
          <w:szCs w:val="44"/>
          <w:lang w:val="en-US" w:eastAsia="zh-CN"/>
        </w:rPr>
      </w:pPr>
      <w:bookmarkStart w:id="0" w:name="_Toc8661"/>
      <w:bookmarkStart w:id="1" w:name="_科技部等9部门印发《赋予科研人员职务科技成果所有权或长期使用权试点实施方案》的通知"/>
      <w:r>
        <w:rPr>
          <w:rFonts w:hint="default" w:ascii="Times New Roman" w:hAnsi="Times New Roman" w:eastAsia="方正小标宋简体" w:cs="Times New Roman"/>
          <w:b w:val="0"/>
          <w:bCs/>
          <w:sz w:val="44"/>
          <w:szCs w:val="44"/>
          <w:lang w:val="en-US" w:eastAsia="zh-CN"/>
        </w:rPr>
        <w:t>科技部 等9部门印发《赋予科研人员职务科技成果所有权或长期使用权试点实施方案》的通知</w:t>
      </w:r>
      <w:bookmarkEnd w:id="0"/>
    </w:p>
    <w:bookmarkEnd w:id="1"/>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0" w:firstLineChars="0"/>
        <w:jc w:val="center"/>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国科发区〔2020〕128号</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0" w:firstLine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0" w:firstLine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各有关单位：</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赋予科研人员职务科技成果所有权或长期使用权试点实施方案》（以下简称《实施方案》）已经2020年2月14日中央全面深化改革委员会第十二次会议审议通过。现将《实施方案》印发给你们，请结合实际认真贯彻执行。</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cs="Times New Roman" w:eastAsiaTheme="minorEastAsia"/>
          <w:color w:val="000000" w:themeColor="text1"/>
          <w:sz w:val="32"/>
          <w:szCs w:val="32"/>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left="0" w:leftChars="0" w:firstLine="0" w:firstLine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eastAsiaTheme="minorEastAsia"/>
          <w:color w:val="000000" w:themeColor="text1"/>
          <w:sz w:val="32"/>
          <w:szCs w:val="32"/>
          <w14:textFill>
            <w14:solidFill>
              <w14:schemeClr w14:val="tx1"/>
            </w14:solidFill>
          </w14:textFill>
        </w:rPr>
        <w:t>　　　　　　　　　　　</w:t>
      </w:r>
      <w:r>
        <w:rPr>
          <w:rFonts w:hint="default" w:ascii="Times New Roman" w:hAnsi="Times New Roman" w:eastAsia="仿宋_GB2312" w:cs="Times New Roman"/>
          <w:color w:val="000000" w:themeColor="text1"/>
          <w:sz w:val="32"/>
          <w:szCs w:val="32"/>
          <w14:textFill>
            <w14:solidFill>
              <w14:schemeClr w14:val="tx1"/>
            </w14:solidFill>
          </w14:textFill>
        </w:rPr>
        <w:t>科技部　发展改革委　教育部</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left="0" w:leftChars="0" w:firstLine="0" w:firstLine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工业和信息化部　财政部　人力资源社会保障部</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0" w:firstLine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商务部　　知识产权局　　中科院</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0" w:firstLine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w:t>
      </w:r>
      <w:r>
        <w:rPr>
          <w:rFonts w:hint="default" w:ascii="Times New Roman" w:hAnsi="Times New Roman" w:cs="Times New Roman" w:eastAsiaTheme="minorEastAsia"/>
          <w:color w:val="000000" w:themeColor="text1"/>
          <w:sz w:val="32"/>
          <w:szCs w:val="32"/>
          <w14:textFill>
            <w14:solidFill>
              <w14:schemeClr w14:val="tx1"/>
            </w14:solidFill>
          </w14:textFill>
        </w:rPr>
        <w:t>　　　　　　</w:t>
      </w:r>
      <w:r>
        <w:rPr>
          <w:rFonts w:hint="default" w:ascii="Times New Roman" w:hAnsi="Times New Roman" w:eastAsia="仿宋_GB2312" w:cs="Times New Roman"/>
          <w:color w:val="000000" w:themeColor="text1"/>
          <w:sz w:val="32"/>
          <w:szCs w:val="32"/>
          <w14:textFill>
            <w14:solidFill>
              <w14:schemeClr w14:val="tx1"/>
            </w14:solidFill>
          </w14:textFill>
        </w:rPr>
        <w:t>　  2020年5月9日</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0" w:firstLine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0" w:firstLineChars="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（此件主动公开）</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0" w:firstLineChars="0"/>
        <w:textAlignment w:val="auto"/>
        <w:rPr>
          <w:rFonts w:hint="default" w:ascii="Times New Roman" w:hAnsi="Times New Roman" w:cs="Times New Roman" w:eastAsiaTheme="minorEastAsia"/>
          <w:color w:val="000000" w:themeColor="text1"/>
          <w14:textFill>
            <w14:solidFill>
              <w14:schemeClr w14:val="tx1"/>
            </w14:solidFill>
          </w14:textFill>
        </w:rPr>
      </w:pPr>
      <w:r>
        <w:rPr>
          <w:rFonts w:hint="default" w:ascii="Times New Roman" w:hAnsi="Times New Roman" w:cs="Times New Roman" w:eastAsiaTheme="minorEastAsia"/>
          <w:color w:val="000000" w:themeColor="text1"/>
          <w14:textFill>
            <w14:solidFill>
              <w14:schemeClr w14:val="tx1"/>
            </w14:solidFill>
          </w14:textFill>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0" w:firstLineChars="0"/>
        <w:jc w:val="center"/>
        <w:textAlignment w:val="auto"/>
        <w:rPr>
          <w:rFonts w:hint="default" w:ascii="Times New Roman" w:hAnsi="Times New Roman" w:eastAsia="方正小标宋简体" w:cs="Times New Roman"/>
          <w:b w:val="0"/>
          <w:bCs w:val="0"/>
          <w:color w:val="000000" w:themeColor="text1"/>
          <w:sz w:val="36"/>
          <w:szCs w:val="36"/>
          <w14:textFill>
            <w14:solidFill>
              <w14:schemeClr w14:val="tx1"/>
            </w14:solidFill>
          </w14:textFill>
        </w:rPr>
      </w:pPr>
      <w:r>
        <w:rPr>
          <w:rFonts w:hint="default" w:ascii="Times New Roman" w:hAnsi="Times New Roman" w:eastAsia="方正小标宋简体" w:cs="Times New Roman"/>
          <w:b w:val="0"/>
          <w:bCs w:val="0"/>
          <w:color w:val="000000" w:themeColor="text1"/>
          <w:sz w:val="36"/>
          <w:szCs w:val="36"/>
          <w14:textFill>
            <w14:solidFill>
              <w14:schemeClr w14:val="tx1"/>
            </w14:solidFill>
          </w14:textFill>
        </w:rPr>
        <w:t>赋予科研人员职务科技成果所有权或长期使用权试点实施方案</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为深化科技成果使用权、处置权和收益权改革，进一步激发科研人员创新热情，促进科技成果转化，根据《中华人民共和国科学技术进步法》</w:t>
      </w:r>
      <w:r>
        <w:rPr>
          <w:rFonts w:hint="default" w:ascii="Times New Roman" w:hAnsi="Times New Roman" w:eastAsia="仿宋_GB2312" w:cs="Times New Roman"/>
          <w:color w:val="000000" w:themeColor="text1"/>
          <w:sz w:val="32"/>
          <w:szCs w:val="32"/>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14:textFill>
            <w14:solidFill>
              <w14:schemeClr w14:val="tx1"/>
            </w14:solidFill>
          </w14:textFill>
        </w:rPr>
        <w:instrText xml:space="preserve"> HYPERLINK \l "_中华人民共和国促进科技成果转化法" </w:instrText>
      </w:r>
      <w:r>
        <w:rPr>
          <w:rFonts w:hint="default" w:ascii="Times New Roman" w:hAnsi="Times New Roman" w:eastAsia="仿宋_GB2312" w:cs="Times New Roman"/>
          <w:color w:val="000000" w:themeColor="text1"/>
          <w:sz w:val="32"/>
          <w:szCs w:val="32"/>
          <w14:textFill>
            <w14:solidFill>
              <w14:schemeClr w14:val="tx1"/>
            </w14:solidFill>
          </w14:textFill>
        </w:rPr>
        <w:fldChar w:fldCharType="separate"/>
      </w:r>
      <w:r>
        <w:rPr>
          <w:rStyle w:val="6"/>
          <w:rFonts w:hint="default" w:ascii="Times New Roman" w:hAnsi="Times New Roman" w:eastAsia="仿宋_GB2312" w:cs="Times New Roman"/>
          <w:sz w:val="32"/>
          <w:szCs w:val="32"/>
        </w:rPr>
        <w:t>《中华人民共和国促进科技成果转化法》</w:t>
      </w:r>
      <w:r>
        <w:rPr>
          <w:rFonts w:hint="default" w:ascii="Times New Roman" w:hAnsi="Times New Roman" w:eastAsia="仿宋_GB2312" w:cs="Times New Roman"/>
          <w:color w:val="000000" w:themeColor="text1"/>
          <w:sz w:val="32"/>
          <w:szCs w:val="32"/>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14:textFill>
            <w14:solidFill>
              <w14:schemeClr w14:val="tx1"/>
            </w14:solidFill>
          </w14:textFill>
        </w:rPr>
        <w:t>《中华人民共和国专利法》相关规定，现就开展赋予科研人员职务科技成果所有权或长期使用权试点工作制定本实施方案。</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一、总体要求</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（一）指导思想。</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以习近平新时代中国特色社会主义思想为指导，全面贯彻党的十九大和十九届二中、三中、四中全会精神，认真贯彻党中央、国务院决策部署，加快实施创新驱动发展战略，树立科技成果只有转化才能真正实现创新价值、不转化是最大损失的理念，创新促进科技成果转化的机制和模式，着力破除制约科技成果转化的障碍和藩篱，通过赋予科研人员职务科技成果所有权或长期使用权实施产权激励，完善科技成果转化激励政策，激发科研人员创新创业的积极性，促进科技与经济深度融合，推动经济高质量发展，加快建设创新型国家。</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（二）基本原则。</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系统设计、统筹布局。聚焦科技成果所有权和长期使用权改革，从规范赋予科研人员职务科技成果所有权和长期使用权流程、充分赋予单位管理科技成果自主权、建立尽职免责机制、做好科技成果转化管理和服务等方面做好顶层设计，统筹推进试点工作。</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问题导向、补齐短板。遵循市场经济和科技创新规律，着力破解科技成果有效转化的政策制度瓶颈，找准改革突破口，集中资源和力量，畅通科技成果转化通道。</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先行先试、重点突破。以调动科研人员创新积极性、促进科技成果转化为出发点和落脚点，强化政策引导，鼓励先行开展探索，破除体制机制障碍，形成新路径和新模式，加快构建有利于科技创新和科技成果转化的长效机制。</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（三）主要目标。</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分领域选择40家高等院校和科研机构开展试点，探索建立赋予科研人员职务科技成果所有权或长期使用权的机制和模式，形成可复制、可推广的经验和做法，推动完善相关法律法规和政策措施，进一步激发科研人员创新积极性，促进科技成果转移转化。</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二、试点主要任务</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(一)赋予科研人员职务科技成果所有权。</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国家设立的高等院校、科研机构科研人员完成的职务科技成果所有权属于单位。试点单位可以结合本单位实际，将本单位利用财政性资金形成或接受企业、其他社会组织委托形成的归单位所有的职务科技成果所有权赋予成果完成人（团队），试点单位与成果完成人（团队）成为共同所有权人。赋权的成果应具备权属清晰、应用前景明朗、承接对象明确、科研人员转化意愿强烈等条件。成果类型包括专利权、计算机软件著作权、集成电路布图设计专有权、植物新品种权，以及生物医药新品种和技术秘密等。对可能影响国家安全、国防安全、公共安全、经济安全、社会稳定等事关国家利益和重大社会公共利益的成果暂不纳入赋权范围，加快推动建立赋权成果的负面清单制度。</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试点单位应建立健全职务科技成果赋权的管理制度、工作流程和决策机制，按照科研人员意愿采取转化前赋予职务科技成果所有权（先赋权后转化）或转化后奖励现金、股权（先转化后奖励）的不同激励方式，对同一科技成果转化不进行重复激励。先赋权后转化的，科技成果完成人（团队）应在团队内部协商一致，书面约定内部收益分配比例等事项，指定代表向单位提出赋权申请，试点单位进行审批并在单位内公示，公示期不少于15日。试点单位与科技成果完成人（团队）应签署书面协议，合理约定转化科技成果收益分配比例、转化决策机制、转化费用分担以及知识产权维持费用等，明确转化科技成果各方的权利和义务，并及时办理相应的权属变更等手续。</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（二）赋予科研人员职务科技成果长期使用权。</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试点单位可赋予科研人员不低于10年的职务科技成果长期使用权。科技成果完成人（团队）应向单位申请并提交成果转化实施方案，由其单独或与其他单位共同实施该项科技成果转化。试点单位进行审批并在单位内公示，公示期不少于15日。试点单位与科技成果完成人（团队）应签署书面协议，合理约定成果的收益分配等事项，在科研人员履行协议、科技成果转化取得积极进展、收益情况良好的情况下，试点单位可进一步延长科研人员长期使用权期限。试点结束后，试点期内签署生效的长期使用权协议应当按照协议约定继续履行。</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（三）落实以增加知识价值为导向的分配政策。</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试点单位应建立健全职务科技成果转化收益分配机制，使科研人员收入与对成果转化的实际贡献相匹配。试点单位实施科技成果转化，包括开展技术开发、技术咨询、技术服务等活动，按规定给个人的现金奖励，应及时足额发放给对科技成果转化作出重要贡献的人员，计入当年本单位绩效工资总量，不受单位总量限制，不纳入总量基数。</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（四）优化科技成果转化国有资产管理方式。</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充分赋予试点单位管理科技成果自主权，探索形成符合科技成果转化规律的国有资产管理模式。高等院校、科研机构对其持有的科技成果，可以自主决定转让、许可或者作价投资，不需报主管部门、财政部门审批。试点单位将科技成果转让、许可或者作价投资给国有全资企业的，可以不进行资产评估。试点单位将其持有的科技成果转让、许可或作价投资给非国有全资企业的，由单位自主决定是否进行资产评估。</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（五）强化科技成果转化全过程管理和服务。</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试点单位要加强对科技成果转化的全过程管理和服务，坚持放管结合，通过年度报告制度、技术合同认定、科技成果登记等方式，及时掌握赋权科技成果转化情况。试点单位可以通过协议定价、在技术交易市场挂牌交易、拍卖等方式确定交易价格，探索和完善科技成果转移转化的资产评估机制。获得科技成果所有权或长期使用权的科技成果完成人（团队）应勤勉尽职，积极采取多种方式加快推动科技成果转化。对于赋权科技成果作价入股的，应完善相应的法人治理结构，维护各方权益。鼓励试点单位和科研人员通过科研发展基金等方式，将成果转化收益继续用于中试熟化和新项目研发等科技创新活动。建立健全相关信息公开机制，加强全社会监督。</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（六）加强赋权科技成果转化的科技安全和科技伦理管理。</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鼓励赋权科技成果首先在中国境内转化和实施。国家出于重大利益和安全需要，可以依法组织对赋权职务科技成果进行推广应用。科研人员将赋权科技成果向境外转移转化的，应遵守国家技术出口等相关法律法规。涉及国家秘密的职务科技成果的赋权和转化，试点单位和成果完成人（团队）要严格执行科学技术保密制度，加强保密管理；试点单位和成果完成人（团队）与企业、个人合作开展涉密成果转移转化的，要依法依规进行审批，并签订保密协议。加强对赋权科技成果转化的科技伦理管理，严格遵守科技伦理相关规定，确保科技成果的转化应用安全可控。</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（七）建立尽职免责机制。</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试点单位领导人员履行勤勉尽职义务，严格执行决策、公示等管理制度，在没有牟取非法利益的前提下，可以免除追究其在科技成果定价、自主决定资产评估以及成果赋权中的相关决策失误责任。各地方、各主管部门要建立相应容错和纠错机制，探索通过负面清单等方式，制定勤勉尽责的规范和细则，激发试点单位的转化积极性和科研人员干事创业的主动性、创造性。完善纪检监察、审计、财政等部门监督检查机制，以是否符合中央精神和改革方向、是否有利于科技成果转化作为对科技成果转化活动的定性判断标准，实行审慎包容监管。</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（八）充分发挥专业化技术转移机构的作用。</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试点单位应在不增加编制的前提下完善专业化技术转移机制建设，发挥社会化技术转移机构作用，开展信息发布、成果评价、成果对接、经纪服务、知识产权管理与运用等工作，创新技术转移管理和运营机制，加强技术经理人队伍建设，提升专业化服务能力。</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三、试点对象和期限</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（一）试点单位范围。</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试点单位为国家设立的高等院校和科研机构。优先在开展基于绩效、诚信和能力的科研管理改革试点的中央部门所属高等院校和中科院所属科研院所，医疗卫生、农业等行业所属中央级科研机构，以及全面创新改革试验区和国家自主创新示范区内的地方高等院校和科研机构中，选择一批改革动力足、创新能力强、转化成效显著以及示范作用突出的单位开展试点。</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（二）试点期限。</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试点期3年。</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四、组织实施</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（一）加强组织领导。</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在国家科技体制改革和创新体系建设领导小组指导下，科技部会同发展改革委、教育部、工业和信息化部、财政部、商务部、人力资源社会保障部、知识产权局、中科院等部门建立高效、精简的试点工作协调机制，及时研究重大政策问题，编制赋权协议范本，加强风险防控，指导推进试点工作，确保试点宏观可控。相关地方要建立协调机制，推动试点任务落实，做好成效总结评估和经验推广工作。试点单位应按照实施方案的原则和要求，编制试点工作方案。</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（二）加强评估监测。</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科技部会同相关部门完善试点工作报告制度，试点单位应及时将试点工作方案、年度试点执行情况和赋权成果名单报告主管部门和科技部。对试点中的一些重大事项，可组织科技、产业、法律、财务、知识产权等方面的专家，开展决策咨询服务。发挥第三方评估机构的作用，对试点进展情况开展监测和评估。对于试点前有关地方和单位已经开展的科技成果赋权和转化成功经验、做法和模式，及时纳入试点方案。对试点中发现的问题和偏差，及时予以解决和纠正。</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（三）加强推广应用。</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充分发挥试点示范作用，开展经验交流，编发典型案例，加强宣传引导。对形成的一些好的经验做法，通过扩大试点范围等方式进行复制推广，总结试点中形成的改革新举措，及时健全完善相关政策措施。为解决试点中可能出现的突出问题和矛盾，需要对现行法律法规进行调整的，依法律程序解决。</w:t>
      </w:r>
    </w:p>
    <w:p>
      <w:pPr>
        <w:pStyle w:val="3"/>
        <w:keepNext w:val="0"/>
        <w:keepLines w:val="0"/>
        <w:pageBreakBefore w:val="0"/>
        <w:widowControl w:val="0"/>
        <w:kinsoku/>
        <w:wordWrap/>
        <w:overflowPunct/>
        <w:topLinePunct w:val="0"/>
        <w:autoSpaceDE/>
        <w:autoSpaceDN/>
        <w:bidi w:val="0"/>
        <w:adjustRightInd/>
        <w:snapToGrid/>
        <w:spacing w:beforeLines="50" w:beforeAutospacing="0" w:afterLines="50" w:afterAutospacing="0" w:line="53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有关部门和地方要按照本方案精神，强化全局和责任意识，统一思想，主动改革，勇于创新，积极作为，确保试点工作取得实效。国防领域赋予科研人员职务科技成果所有权或长期使用权的试点由国防科技工业主管部门和军队有关部门参照本方案精神制定实施方案，另行开展。</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BE319F"/>
    <w:rsid w:val="56BE3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0"/>
    <w:pPr>
      <w:widowControl/>
      <w:spacing w:before="100" w:beforeAutospacing="1" w:after="100" w:afterAutospacing="1"/>
      <w:jc w:val="left"/>
    </w:pPr>
    <w:rPr>
      <w:rFonts w:ascii="宋体" w:hAnsi="宋体" w:cs="宋体"/>
      <w:kern w:val="0"/>
    </w:rPr>
  </w:style>
  <w:style w:type="character" w:styleId="6">
    <w:name w:val="FollowedHyperlink"/>
    <w:basedOn w:val="5"/>
    <w:semiHidden/>
    <w:unhideWhenUsed/>
    <w:qFormat/>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2021-03-04T01:55:00Z</dcterms:created>
  <dc:creator>史努比的新粉丝</dc:creator>
  <cp:lastModifiedBy>史努比的新粉丝</cp:lastModifiedBy>
  <dcterms:modified xsi:type="dcterms:W3CDTF">2021-03-04T01:55:29Z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